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AD" w:rsidRDefault="00067F4C" w:rsidP="000269AD">
      <w:pPr>
        <w:jc w:val="center"/>
        <w:outlineLvl w:val="0"/>
        <w:rPr>
          <w:rFonts w:ascii="Arial" w:hAnsi="Arial" w:cs="Arial"/>
          <w:b/>
          <w:sz w:val="22"/>
          <w:szCs w:val="22"/>
        </w:rPr>
      </w:pPr>
      <w:r>
        <w:rPr>
          <w:b/>
          <w:noProof/>
          <w:sz w:val="22"/>
          <w:szCs w:val="22"/>
        </w:rPr>
        <w:drawing>
          <wp:anchor distT="0" distB="0" distL="114300" distR="114300" simplePos="0" relativeHeight="251657216" behindDoc="0" locked="0" layoutInCell="1" allowOverlap="1">
            <wp:simplePos x="0" y="0"/>
            <wp:positionH relativeFrom="column">
              <wp:posOffset>-114300</wp:posOffset>
            </wp:positionH>
            <wp:positionV relativeFrom="paragraph">
              <wp:posOffset>-184150</wp:posOffset>
            </wp:positionV>
            <wp:extent cx="1143000" cy="6858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143000" cy="685800"/>
                    </a:xfrm>
                    <a:prstGeom prst="rect">
                      <a:avLst/>
                    </a:prstGeom>
                    <a:noFill/>
                  </pic:spPr>
                </pic:pic>
              </a:graphicData>
            </a:graphic>
          </wp:anchor>
        </w:drawing>
      </w:r>
    </w:p>
    <w:p w:rsidR="009F3F4D" w:rsidRDefault="000269AD" w:rsidP="009F3F4D">
      <w:pPr>
        <w:jc w:val="center"/>
        <w:outlineLvl w:val="0"/>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p>
    <w:p w:rsidR="009F3F4D" w:rsidRPr="009F3F4D" w:rsidRDefault="009F3F4D" w:rsidP="009F3F4D">
      <w:pPr>
        <w:jc w:val="center"/>
        <w:outlineLvl w:val="0"/>
        <w:rPr>
          <w:rFonts w:ascii="Arial" w:hAnsi="Arial" w:cs="Arial"/>
          <w:b/>
          <w:sz w:val="22"/>
          <w:szCs w:val="22"/>
        </w:rPr>
      </w:pPr>
      <w:r w:rsidRPr="009F3F4D">
        <w:rPr>
          <w:rFonts w:ascii="Arial" w:hAnsi="Arial" w:cs="Arial"/>
          <w:b/>
          <w:sz w:val="22"/>
          <w:szCs w:val="22"/>
        </w:rPr>
        <w:t>Integrating Oral Health Into</w:t>
      </w:r>
      <w:r w:rsidR="00D46543">
        <w:rPr>
          <w:rFonts w:ascii="Arial" w:hAnsi="Arial" w:cs="Arial"/>
          <w:b/>
          <w:sz w:val="22"/>
          <w:szCs w:val="22"/>
        </w:rPr>
        <w:t xml:space="preserve"> the</w:t>
      </w:r>
    </w:p>
    <w:p w:rsidR="009F3F4D" w:rsidRPr="009F3F4D" w:rsidRDefault="009F3F4D" w:rsidP="009F3F4D">
      <w:pPr>
        <w:jc w:val="center"/>
        <w:outlineLvl w:val="0"/>
        <w:rPr>
          <w:rFonts w:ascii="Arial" w:hAnsi="Arial" w:cs="Arial"/>
          <w:b/>
          <w:sz w:val="22"/>
          <w:szCs w:val="22"/>
        </w:rPr>
      </w:pPr>
      <w:r w:rsidRPr="009F3F4D">
        <w:rPr>
          <w:rFonts w:ascii="Arial" w:hAnsi="Arial" w:cs="Arial"/>
          <w:b/>
          <w:sz w:val="22"/>
          <w:szCs w:val="22"/>
        </w:rPr>
        <w:t>Whole School, Whole Community, Whole Child</w:t>
      </w:r>
    </w:p>
    <w:p w:rsidR="009F3F4D" w:rsidRDefault="009F3F4D" w:rsidP="009F3F4D">
      <w:pPr>
        <w:jc w:val="center"/>
        <w:outlineLvl w:val="0"/>
        <w:rPr>
          <w:rFonts w:ascii="Arial" w:hAnsi="Arial" w:cs="Arial"/>
          <w:b/>
          <w:sz w:val="22"/>
          <w:szCs w:val="22"/>
        </w:rPr>
      </w:pPr>
      <w:r w:rsidRPr="009F3F4D">
        <w:rPr>
          <w:rFonts w:ascii="Arial" w:hAnsi="Arial" w:cs="Arial"/>
          <w:b/>
          <w:sz w:val="22"/>
          <w:szCs w:val="22"/>
        </w:rPr>
        <w:t>School Health Model</w:t>
      </w:r>
    </w:p>
    <w:p w:rsidR="009F3F4D" w:rsidRPr="009F3F4D" w:rsidRDefault="009F3F4D" w:rsidP="009F3F4D">
      <w:pPr>
        <w:jc w:val="center"/>
        <w:outlineLvl w:val="0"/>
        <w:rPr>
          <w:rFonts w:ascii="Arial" w:hAnsi="Arial" w:cs="Arial"/>
          <w:b/>
          <w:sz w:val="22"/>
          <w:szCs w:val="22"/>
        </w:rPr>
      </w:pPr>
      <w:r>
        <w:rPr>
          <w:rFonts w:ascii="Arial" w:hAnsi="Arial" w:cs="Arial"/>
          <w:b/>
          <w:sz w:val="22"/>
          <w:szCs w:val="22"/>
        </w:rPr>
        <w:t>Association of State and Territorial Dental Directors (ASTDD)</w:t>
      </w:r>
    </w:p>
    <w:p w:rsidR="009F3F4D" w:rsidRPr="00F539E5" w:rsidRDefault="009F3F4D" w:rsidP="009F3F4D">
      <w:pPr>
        <w:jc w:val="center"/>
        <w:outlineLvl w:val="0"/>
        <w:rPr>
          <w:rFonts w:ascii="Arial" w:hAnsi="Arial" w:cs="Arial"/>
          <w:b/>
          <w:sz w:val="22"/>
          <w:szCs w:val="22"/>
        </w:rPr>
      </w:pPr>
      <w:r w:rsidRPr="00F539E5">
        <w:rPr>
          <w:rFonts w:ascii="Arial" w:hAnsi="Arial" w:cs="Arial"/>
          <w:b/>
          <w:sz w:val="22"/>
          <w:szCs w:val="22"/>
        </w:rPr>
        <w:t>Adopted:</w:t>
      </w:r>
      <w:r>
        <w:rPr>
          <w:rFonts w:ascii="Arial" w:hAnsi="Arial" w:cs="Arial"/>
          <w:b/>
          <w:sz w:val="22"/>
          <w:szCs w:val="22"/>
        </w:rPr>
        <w:t xml:space="preserve"> </w:t>
      </w:r>
      <w:r w:rsidR="00810711">
        <w:rPr>
          <w:rFonts w:ascii="Arial" w:hAnsi="Arial" w:cs="Arial"/>
          <w:b/>
          <w:sz w:val="22"/>
          <w:szCs w:val="22"/>
        </w:rPr>
        <w:t>September</w:t>
      </w:r>
      <w:r>
        <w:rPr>
          <w:rFonts w:ascii="Arial" w:hAnsi="Arial" w:cs="Arial"/>
          <w:b/>
          <w:sz w:val="22"/>
          <w:szCs w:val="22"/>
        </w:rPr>
        <w:t xml:space="preserve"> 2015</w:t>
      </w:r>
    </w:p>
    <w:p w:rsidR="000269AD" w:rsidRPr="00095CAD" w:rsidRDefault="00644B6B" w:rsidP="009F3F4D">
      <w:pPr>
        <w:pStyle w:val="Title"/>
        <w:tabs>
          <w:tab w:val="left" w:pos="1440"/>
        </w:tabs>
        <w:ind w:right="-360" w:hanging="360"/>
        <w:rPr>
          <w:rFonts w:ascii="Verdana" w:hAnsi="Verdana"/>
          <w:sz w:val="30"/>
          <w:szCs w:val="30"/>
        </w:rPr>
      </w:pPr>
      <w:r>
        <w:rPr>
          <w:rFonts w:ascii="Verdana" w:hAnsi="Verdana"/>
          <w:noProof/>
          <w:sz w:val="30"/>
          <w:szCs w:val="30"/>
        </w:rPr>
        <w:pict>
          <v:line id="_x0000_s1028" style="position:absolute;left:0;text-align:left;z-index:-251658240;mso-position-horizontal:center" from="0,10pt" to="495pt,10pt" strokecolor="#90c" strokeweight="3pt">
            <w10:anchorlock/>
          </v:line>
        </w:pict>
      </w:r>
    </w:p>
    <w:p w:rsidR="00F539E5" w:rsidRPr="00F539E5" w:rsidRDefault="00F539E5" w:rsidP="00F539E5">
      <w:pPr>
        <w:jc w:val="center"/>
        <w:rPr>
          <w:rFonts w:ascii="Arial" w:hAnsi="Arial" w:cs="Arial"/>
          <w:b/>
          <w:sz w:val="22"/>
          <w:szCs w:val="22"/>
        </w:rPr>
      </w:pPr>
    </w:p>
    <w:p w:rsidR="00F539E5" w:rsidRPr="00F539E5" w:rsidRDefault="00F539E5" w:rsidP="00F539E5">
      <w:pPr>
        <w:rPr>
          <w:rFonts w:ascii="Arial" w:eastAsia="MS Mincho" w:hAnsi="Arial" w:cs="Arial"/>
          <w:b/>
          <w:sz w:val="22"/>
          <w:szCs w:val="22"/>
        </w:rPr>
      </w:pPr>
      <w:r w:rsidRPr="00F539E5">
        <w:rPr>
          <w:rFonts w:ascii="Arial" w:eastAsia="MS Mincho" w:hAnsi="Arial" w:cs="Arial"/>
          <w:b/>
          <w:sz w:val="22"/>
          <w:szCs w:val="22"/>
        </w:rPr>
        <w:t>Problem</w:t>
      </w:r>
    </w:p>
    <w:p w:rsidR="00F539E5" w:rsidRPr="00F539E5" w:rsidRDefault="00F539E5" w:rsidP="00F539E5">
      <w:pPr>
        <w:rPr>
          <w:rFonts w:eastAsia="MS Mincho"/>
        </w:rPr>
      </w:pPr>
    </w:p>
    <w:p w:rsidR="00F539E5" w:rsidRPr="00F539E5" w:rsidRDefault="00F539E5" w:rsidP="009F3F4D">
      <w:pPr>
        <w:spacing w:line="276" w:lineRule="auto"/>
        <w:rPr>
          <w:rFonts w:eastAsia="MS Mincho"/>
          <w:sz w:val="22"/>
          <w:szCs w:val="22"/>
        </w:rPr>
      </w:pPr>
      <w:r w:rsidRPr="00F539E5">
        <w:rPr>
          <w:rFonts w:eastAsia="MS Mincho"/>
          <w:sz w:val="22"/>
          <w:szCs w:val="22"/>
        </w:rPr>
        <w:t xml:space="preserve">Oral health is essential for the overall health and </w:t>
      </w:r>
      <w:r w:rsidR="009F3F4D" w:rsidRPr="00F539E5">
        <w:rPr>
          <w:rFonts w:eastAsia="MS Mincho"/>
          <w:sz w:val="22"/>
          <w:szCs w:val="22"/>
        </w:rPr>
        <w:t>well-being</w:t>
      </w:r>
      <w:r w:rsidRPr="00F539E5">
        <w:rPr>
          <w:rFonts w:eastAsia="MS Mincho"/>
          <w:sz w:val="22"/>
          <w:szCs w:val="22"/>
        </w:rPr>
        <w:t xml:space="preserve"> of students. Tooth decay may result in pain, poor nutrition, and dysfunctional speech, as well as a lack of concentration, poor appearance, low self-esteem, and absenteeism.</w:t>
      </w:r>
      <w:r w:rsidRPr="00F539E5">
        <w:rPr>
          <w:rFonts w:eastAsia="MS Mincho"/>
          <w:sz w:val="22"/>
          <w:szCs w:val="22"/>
          <w:vertAlign w:val="superscript"/>
        </w:rPr>
        <w:endnoteReference w:id="1"/>
      </w:r>
      <w:r w:rsidRPr="00F539E5">
        <w:rPr>
          <w:rFonts w:eastAsia="MS Mincho"/>
          <w:sz w:val="22"/>
          <w:szCs w:val="22"/>
        </w:rPr>
        <w:t xml:space="preserve"> “Students with preventable or untreated health and development problems may have trouble concentrating and learning, frequent absences from school, or develop permanent disabilities that affect their ability to learn and grow.”</w:t>
      </w:r>
      <w:r w:rsidRPr="00F539E5">
        <w:rPr>
          <w:rFonts w:eastAsia="MS Mincho"/>
          <w:sz w:val="22"/>
          <w:szCs w:val="22"/>
          <w:vertAlign w:val="superscript"/>
        </w:rPr>
        <w:endnoteReference w:id="2"/>
      </w:r>
      <w:r w:rsidRPr="00F539E5">
        <w:rPr>
          <w:rFonts w:eastAsia="MS Mincho"/>
          <w:sz w:val="22"/>
          <w:szCs w:val="22"/>
        </w:rPr>
        <w:t xml:space="preserve"> Similarly, dental/oral disease negatively impacts a student’s ability to attend and participate fully in school. Dental-related illness accounts for an estimated 51 million school hours lost per year.</w:t>
      </w:r>
      <w:r w:rsidRPr="00F539E5">
        <w:rPr>
          <w:rFonts w:eastAsia="MS Mincho"/>
          <w:sz w:val="22"/>
          <w:szCs w:val="22"/>
          <w:vertAlign w:val="superscript"/>
        </w:rPr>
        <w:endnoteReference w:id="3"/>
      </w:r>
    </w:p>
    <w:p w:rsidR="00F539E5" w:rsidRPr="00F539E5" w:rsidRDefault="00F539E5" w:rsidP="009F3F4D">
      <w:pPr>
        <w:spacing w:line="276" w:lineRule="auto"/>
        <w:rPr>
          <w:rFonts w:eastAsia="MS Mincho"/>
          <w:sz w:val="22"/>
          <w:szCs w:val="22"/>
        </w:rPr>
      </w:pPr>
    </w:p>
    <w:p w:rsidR="00F539E5" w:rsidRPr="00F539E5" w:rsidRDefault="00F539E5" w:rsidP="009F3F4D">
      <w:pPr>
        <w:widowControl w:val="0"/>
        <w:autoSpaceDE w:val="0"/>
        <w:autoSpaceDN w:val="0"/>
        <w:adjustRightInd w:val="0"/>
        <w:spacing w:line="276" w:lineRule="auto"/>
        <w:rPr>
          <w:rFonts w:eastAsia="MS Mincho"/>
          <w:color w:val="000000"/>
          <w:sz w:val="22"/>
          <w:szCs w:val="22"/>
        </w:rPr>
      </w:pPr>
      <w:r w:rsidRPr="004E132A">
        <w:rPr>
          <w:rFonts w:eastAsia="MS Mincho"/>
          <w:color w:val="000000"/>
          <w:sz w:val="22"/>
          <w:szCs w:val="22"/>
        </w:rPr>
        <w:t>The nation’s major chronic disease killers – heart disease and stroke, cancer, and diabetes – are often brought on by risk behaviors such as physical inactivity, unhealthy eating and tobacco use</w:t>
      </w:r>
      <w:r w:rsidR="000213CF" w:rsidRPr="004E132A">
        <w:rPr>
          <w:rFonts w:eastAsia="MS Mincho"/>
          <w:color w:val="000000"/>
          <w:sz w:val="22"/>
          <w:szCs w:val="22"/>
        </w:rPr>
        <w:t>.</w:t>
      </w:r>
      <w:r w:rsidR="00CF2424" w:rsidRPr="004E132A">
        <w:rPr>
          <w:rFonts w:eastAsia="MS Mincho"/>
          <w:color w:val="000000"/>
          <w:sz w:val="22"/>
          <w:szCs w:val="22"/>
        </w:rPr>
        <w:t xml:space="preserve"> </w:t>
      </w:r>
      <w:r w:rsidR="000213CF" w:rsidRPr="004E132A">
        <w:rPr>
          <w:rFonts w:eastAsia="MS Mincho"/>
          <w:color w:val="000000"/>
          <w:sz w:val="22"/>
          <w:szCs w:val="22"/>
        </w:rPr>
        <w:t xml:space="preserve">These behaviors frequently are </w:t>
      </w:r>
      <w:r w:rsidRPr="004E132A">
        <w:rPr>
          <w:rFonts w:eastAsia="MS Mincho"/>
          <w:color w:val="000000"/>
          <w:sz w:val="22"/>
          <w:szCs w:val="22"/>
        </w:rPr>
        <w:t xml:space="preserve">established in youth </w:t>
      </w:r>
      <w:r w:rsidR="000213CF" w:rsidRPr="004E132A">
        <w:rPr>
          <w:rFonts w:eastAsia="MS Mincho"/>
          <w:color w:val="000000"/>
          <w:sz w:val="22"/>
          <w:szCs w:val="22"/>
        </w:rPr>
        <w:t xml:space="preserve">so they </w:t>
      </w:r>
      <w:r w:rsidRPr="004E132A">
        <w:rPr>
          <w:rFonts w:eastAsia="MS Mincho"/>
          <w:color w:val="000000"/>
          <w:sz w:val="22"/>
          <w:szCs w:val="22"/>
        </w:rPr>
        <w:t>are being addressed in coordinated school health programs.</w:t>
      </w:r>
      <w:r w:rsidRPr="004E132A">
        <w:rPr>
          <w:rFonts w:eastAsia="MS Mincho"/>
          <w:color w:val="000000"/>
          <w:sz w:val="22"/>
          <w:szCs w:val="22"/>
          <w:vertAlign w:val="superscript"/>
        </w:rPr>
        <w:endnoteReference w:id="4"/>
      </w:r>
      <w:r w:rsidRPr="004E132A">
        <w:rPr>
          <w:rFonts w:eastAsia="MS Mincho"/>
          <w:color w:val="000000"/>
          <w:sz w:val="22"/>
          <w:szCs w:val="22"/>
        </w:rPr>
        <w:t xml:space="preserve">  Dental caries (tooth decay) is the number one chronic disease in childhood and is strongly </w:t>
      </w:r>
      <w:r w:rsidR="000213CF" w:rsidRPr="004E132A">
        <w:rPr>
          <w:rFonts w:eastAsia="MS Mincho"/>
          <w:color w:val="000000"/>
          <w:sz w:val="22"/>
          <w:szCs w:val="22"/>
        </w:rPr>
        <w:t xml:space="preserve">associated with </w:t>
      </w:r>
      <w:r w:rsidRPr="004E132A">
        <w:rPr>
          <w:rFonts w:eastAsia="MS Mincho"/>
          <w:color w:val="000000"/>
          <w:sz w:val="22"/>
          <w:szCs w:val="22"/>
        </w:rPr>
        <w:t xml:space="preserve">risk behaviors such as unhealthy eating, poor oral hygiene, </w:t>
      </w:r>
      <w:r w:rsidR="004E132A" w:rsidRPr="004E132A">
        <w:rPr>
          <w:rFonts w:eastAsia="MS Mincho"/>
          <w:color w:val="000000"/>
          <w:sz w:val="22"/>
          <w:szCs w:val="22"/>
        </w:rPr>
        <w:t>less than optimal</w:t>
      </w:r>
      <w:r w:rsidRPr="004E132A">
        <w:rPr>
          <w:rFonts w:eastAsia="MS Mincho"/>
          <w:color w:val="000000"/>
          <w:sz w:val="22"/>
          <w:szCs w:val="22"/>
        </w:rPr>
        <w:t xml:space="preserve"> exposure to fluoride, and lack of routine dental </w:t>
      </w:r>
      <w:r w:rsidR="009F3F4D" w:rsidRPr="004E132A">
        <w:rPr>
          <w:rFonts w:eastAsia="MS Mincho"/>
          <w:color w:val="000000"/>
          <w:sz w:val="22"/>
          <w:szCs w:val="22"/>
        </w:rPr>
        <w:t>care.</w:t>
      </w:r>
      <w:r w:rsidR="009F3F4D" w:rsidRPr="004E132A">
        <w:rPr>
          <w:rFonts w:eastAsia="MS Mincho"/>
          <w:color w:val="000000"/>
          <w:sz w:val="22"/>
          <w:szCs w:val="22"/>
          <w:vertAlign w:val="superscript"/>
        </w:rPr>
        <w:t>1</w:t>
      </w:r>
      <w:r w:rsidR="009F3F4D" w:rsidRPr="004E132A">
        <w:rPr>
          <w:rFonts w:eastAsia="MS Mincho"/>
          <w:color w:val="000000"/>
          <w:sz w:val="22"/>
          <w:szCs w:val="22"/>
        </w:rPr>
        <w:t xml:space="preserve"> However</w:t>
      </w:r>
      <w:r w:rsidRPr="004E132A">
        <w:rPr>
          <w:rFonts w:eastAsia="MS Mincho"/>
          <w:color w:val="000000"/>
          <w:sz w:val="22"/>
          <w:szCs w:val="22"/>
        </w:rPr>
        <w:t>, these oral health risk factors are frequently not addressed in school settings.</w:t>
      </w:r>
      <w:r w:rsidRPr="00F539E5">
        <w:rPr>
          <w:rFonts w:eastAsia="MS Mincho"/>
          <w:color w:val="000000"/>
          <w:sz w:val="22"/>
          <w:szCs w:val="22"/>
        </w:rPr>
        <w:t xml:space="preserve"> </w:t>
      </w:r>
    </w:p>
    <w:p w:rsidR="00F539E5" w:rsidRPr="00F539E5" w:rsidRDefault="00F539E5" w:rsidP="009F3F4D">
      <w:pPr>
        <w:widowControl w:val="0"/>
        <w:autoSpaceDE w:val="0"/>
        <w:autoSpaceDN w:val="0"/>
        <w:adjustRightInd w:val="0"/>
        <w:spacing w:line="276" w:lineRule="auto"/>
        <w:rPr>
          <w:rFonts w:eastAsia="MS Mincho"/>
          <w:color w:val="000000"/>
        </w:rPr>
      </w:pPr>
    </w:p>
    <w:p w:rsidR="00F539E5" w:rsidRPr="00F539E5" w:rsidRDefault="00F539E5" w:rsidP="00F539E5">
      <w:pPr>
        <w:rPr>
          <w:rFonts w:ascii="Arial" w:eastAsia="MS Mincho" w:hAnsi="Arial" w:cs="Arial"/>
          <w:sz w:val="22"/>
          <w:szCs w:val="22"/>
        </w:rPr>
      </w:pPr>
      <w:r w:rsidRPr="00F539E5">
        <w:rPr>
          <w:rFonts w:ascii="Arial" w:eastAsia="MS Mincho" w:hAnsi="Arial" w:cs="Arial"/>
          <w:b/>
          <w:bCs/>
          <w:sz w:val="22"/>
          <w:szCs w:val="22"/>
        </w:rPr>
        <w:t>Methods</w:t>
      </w:r>
    </w:p>
    <w:p w:rsidR="00F539E5" w:rsidRPr="00F539E5" w:rsidRDefault="00F539E5" w:rsidP="00F539E5">
      <w:pPr>
        <w:widowControl w:val="0"/>
        <w:autoSpaceDE w:val="0"/>
        <w:autoSpaceDN w:val="0"/>
        <w:adjustRightInd w:val="0"/>
        <w:rPr>
          <w:rFonts w:eastAsia="MS Mincho"/>
          <w:color w:val="000000"/>
        </w:rPr>
      </w:pPr>
    </w:p>
    <w:p w:rsidR="00F539E5" w:rsidRPr="00F539E5" w:rsidRDefault="00F539E5" w:rsidP="009F3F4D">
      <w:pPr>
        <w:spacing w:line="276" w:lineRule="auto"/>
        <w:rPr>
          <w:sz w:val="22"/>
          <w:szCs w:val="22"/>
        </w:rPr>
      </w:pPr>
      <w:r w:rsidRPr="00F539E5">
        <w:rPr>
          <w:rFonts w:eastAsia="MS Mincho"/>
          <w:sz w:val="22"/>
          <w:szCs w:val="22"/>
        </w:rPr>
        <w:t xml:space="preserve">School is the ideal setting to reach students and, through them, their families, community members and organizations. In the U.S., 55 million students attend more than 132,000 schools for about six hours of classroom time each day for up to 13 of the most formative years of their lives; at any one time </w:t>
      </w:r>
      <w:r w:rsidRPr="00F539E5">
        <w:rPr>
          <w:color w:val="000000"/>
          <w:sz w:val="22"/>
          <w:szCs w:val="22"/>
          <w:shd w:val="clear" w:color="auto" w:fill="FFFFFF"/>
        </w:rPr>
        <w:t>95 percent of all U.S. children and youth attend school</w:t>
      </w:r>
      <w:r w:rsidRPr="00F539E5">
        <w:rPr>
          <w:rFonts w:eastAsia="MS Mincho"/>
          <w:sz w:val="22"/>
          <w:szCs w:val="22"/>
        </w:rPr>
        <w:t>.</w:t>
      </w:r>
      <w:r w:rsidRPr="00F539E5">
        <w:rPr>
          <w:rFonts w:eastAsia="MS Mincho"/>
          <w:sz w:val="22"/>
          <w:szCs w:val="22"/>
          <w:vertAlign w:val="superscript"/>
        </w:rPr>
        <w:endnoteReference w:id="5"/>
      </w:r>
      <w:r w:rsidRPr="00F539E5">
        <w:rPr>
          <w:rFonts w:eastAsia="MS Mincho"/>
          <w:sz w:val="22"/>
          <w:szCs w:val="22"/>
          <w:vertAlign w:val="superscript"/>
        </w:rPr>
        <w:t>,</w:t>
      </w:r>
      <w:r w:rsidRPr="00F539E5">
        <w:rPr>
          <w:rFonts w:eastAsia="MS Mincho"/>
          <w:sz w:val="22"/>
          <w:szCs w:val="22"/>
          <w:vertAlign w:val="superscript"/>
        </w:rPr>
        <w:endnoteReference w:id="6"/>
      </w:r>
      <w:r w:rsidRPr="00F539E5">
        <w:rPr>
          <w:rFonts w:eastAsia="MS Mincho"/>
          <w:sz w:val="22"/>
          <w:szCs w:val="22"/>
        </w:rPr>
        <w:t xml:space="preserve"> Research has shown that school health programs can reduce the prevalence of health risk behaviors among students and have a positive effect on academic performance.</w:t>
      </w:r>
      <w:r w:rsidRPr="00F539E5">
        <w:rPr>
          <w:rFonts w:eastAsia="MS Mincho"/>
          <w:sz w:val="22"/>
          <w:szCs w:val="22"/>
          <w:vertAlign w:val="superscript"/>
        </w:rPr>
        <w:endnoteReference w:id="7"/>
      </w:r>
      <w:r w:rsidRPr="00F539E5">
        <w:rPr>
          <w:rFonts w:eastAsia="MS Mincho"/>
          <w:sz w:val="22"/>
          <w:szCs w:val="22"/>
        </w:rPr>
        <w:t xml:space="preserve"> The Center</w:t>
      </w:r>
      <w:r w:rsidR="000213CF">
        <w:rPr>
          <w:rFonts w:eastAsia="MS Mincho"/>
          <w:sz w:val="22"/>
          <w:szCs w:val="22"/>
        </w:rPr>
        <w:t>s</w:t>
      </w:r>
      <w:r w:rsidRPr="00F539E5">
        <w:rPr>
          <w:rFonts w:eastAsia="MS Mincho"/>
          <w:sz w:val="22"/>
          <w:szCs w:val="22"/>
        </w:rPr>
        <w:t xml:space="preserve"> for Disease Control and Prevention’s Whole School, Whole Community, Whole Child (WSCC) model emphasizes that the following ten components be integrated into school health programs to fully impact student health behaviors: (1) Health Education; (2) Physical Education and Physical Activity; (3) Nutrition Environment and Services; (4) Health Services; (5) Counseling, Psychological and Social Services; (6) Social and Emotional Climate; (7) Physical Environment; (8) Employee Wellness; (9) Family Engagement; and (10) Community Involvement.</w:t>
      </w:r>
      <w:r w:rsidRPr="00F539E5">
        <w:rPr>
          <w:rFonts w:eastAsia="MS Mincho"/>
          <w:sz w:val="22"/>
          <w:szCs w:val="22"/>
          <w:vertAlign w:val="superscript"/>
        </w:rPr>
        <w:endnoteReference w:id="8"/>
      </w:r>
      <w:r w:rsidRPr="00F539E5">
        <w:rPr>
          <w:rFonts w:eastAsia="MS Mincho"/>
          <w:sz w:val="22"/>
          <w:szCs w:val="22"/>
        </w:rPr>
        <w:t xml:space="preserve">  </w:t>
      </w:r>
    </w:p>
    <w:p w:rsidR="00F539E5" w:rsidRPr="00F539E5" w:rsidRDefault="00F539E5" w:rsidP="009F3F4D">
      <w:pPr>
        <w:widowControl w:val="0"/>
        <w:autoSpaceDE w:val="0"/>
        <w:autoSpaceDN w:val="0"/>
        <w:adjustRightInd w:val="0"/>
        <w:spacing w:line="276" w:lineRule="auto"/>
        <w:rPr>
          <w:rFonts w:eastAsia="MS Mincho"/>
          <w:color w:val="000000"/>
          <w:sz w:val="22"/>
          <w:szCs w:val="22"/>
        </w:rPr>
      </w:pPr>
    </w:p>
    <w:p w:rsidR="00F539E5" w:rsidRPr="00F539E5" w:rsidRDefault="00F539E5" w:rsidP="009F3F4D">
      <w:pPr>
        <w:widowControl w:val="0"/>
        <w:autoSpaceDE w:val="0"/>
        <w:autoSpaceDN w:val="0"/>
        <w:adjustRightInd w:val="0"/>
        <w:spacing w:line="276" w:lineRule="auto"/>
        <w:rPr>
          <w:rFonts w:eastAsia="MS Mincho"/>
          <w:color w:val="000000"/>
          <w:sz w:val="22"/>
          <w:szCs w:val="22"/>
        </w:rPr>
      </w:pPr>
      <w:r w:rsidRPr="00F539E5">
        <w:rPr>
          <w:rFonts w:eastAsia="MS Mincho"/>
          <w:color w:val="000000"/>
          <w:sz w:val="22"/>
          <w:szCs w:val="22"/>
        </w:rPr>
        <w:t>School Health Programs should, and must, utilize a strategic approach to improve students’ oral health by ensuring that oral health education, prevention, and/or treatment programs are integrated into each component of the WSCC model</w:t>
      </w:r>
      <w:r w:rsidR="004E132A">
        <w:rPr>
          <w:rFonts w:eastAsia="MS Mincho"/>
          <w:color w:val="000000"/>
          <w:sz w:val="22"/>
          <w:szCs w:val="22"/>
        </w:rPr>
        <w:t xml:space="preserve"> </w:t>
      </w:r>
      <w:r w:rsidR="004E132A" w:rsidRPr="004E132A">
        <w:rPr>
          <w:rFonts w:eastAsia="MS Mincho"/>
          <w:color w:val="000000"/>
          <w:sz w:val="22"/>
          <w:szCs w:val="22"/>
        </w:rPr>
        <w:t>and clearly reflected in related school health policies</w:t>
      </w:r>
      <w:r w:rsidRPr="00F539E5">
        <w:rPr>
          <w:rFonts w:eastAsia="MS Mincho"/>
          <w:color w:val="000000"/>
          <w:sz w:val="22"/>
          <w:szCs w:val="22"/>
        </w:rPr>
        <w:t xml:space="preserve">. If the school does not mandate health education, then other course curricula, such as physical fitness and/or biology, should </w:t>
      </w:r>
      <w:r w:rsidRPr="004E132A">
        <w:rPr>
          <w:rFonts w:eastAsia="MS Mincho"/>
          <w:color w:val="000000"/>
          <w:sz w:val="22"/>
          <w:szCs w:val="22"/>
        </w:rPr>
        <w:lastRenderedPageBreak/>
        <w:t xml:space="preserve">include the following: etiology of dental caries and </w:t>
      </w:r>
      <w:r w:rsidR="000213CF" w:rsidRPr="004E132A">
        <w:rPr>
          <w:rFonts w:eastAsia="MS Mincho"/>
          <w:color w:val="000000"/>
          <w:sz w:val="22"/>
          <w:szCs w:val="22"/>
        </w:rPr>
        <w:t xml:space="preserve">other </w:t>
      </w:r>
      <w:r w:rsidRPr="004E132A">
        <w:rPr>
          <w:rFonts w:eastAsia="MS Mincho"/>
          <w:color w:val="000000"/>
          <w:sz w:val="22"/>
          <w:szCs w:val="22"/>
        </w:rPr>
        <w:t>oral diseases</w:t>
      </w:r>
      <w:r w:rsidR="000213CF" w:rsidRPr="004E132A">
        <w:rPr>
          <w:rFonts w:eastAsia="MS Mincho"/>
          <w:color w:val="000000"/>
          <w:sz w:val="22"/>
          <w:szCs w:val="22"/>
        </w:rPr>
        <w:t xml:space="preserve"> and conditions</w:t>
      </w:r>
      <w:r w:rsidRPr="004E132A">
        <w:rPr>
          <w:rFonts w:eastAsia="MS Mincho"/>
          <w:color w:val="000000"/>
          <w:sz w:val="22"/>
          <w:szCs w:val="22"/>
        </w:rPr>
        <w:t>; prevention</w:t>
      </w:r>
      <w:r w:rsidRPr="00F539E5">
        <w:rPr>
          <w:rFonts w:eastAsia="MS Mincho"/>
          <w:color w:val="000000"/>
          <w:sz w:val="22"/>
          <w:szCs w:val="22"/>
        </w:rPr>
        <w:t xml:space="preserve"> practices including screenings, dental sealants, fluorides, dietary behaviors, and sports/mouth guard use in school sports activities; community water fluoridation; oral hygiene instruction; accessing dental care; prevention and cessation of tobacco and electronic cigarette use; </w:t>
      </w:r>
      <w:r w:rsidR="004E132A" w:rsidRPr="004E132A">
        <w:rPr>
          <w:rFonts w:eastAsia="MS Mincho"/>
          <w:color w:val="000000"/>
          <w:sz w:val="22"/>
          <w:szCs w:val="22"/>
        </w:rPr>
        <w:t>prevention of drug and alcohol use</w:t>
      </w:r>
      <w:r w:rsidR="004E132A">
        <w:rPr>
          <w:rFonts w:eastAsia="MS Mincho"/>
          <w:color w:val="000000"/>
          <w:sz w:val="22"/>
          <w:szCs w:val="22"/>
        </w:rPr>
        <w:t xml:space="preserve">; </w:t>
      </w:r>
      <w:r w:rsidRPr="00F539E5">
        <w:rPr>
          <w:rFonts w:eastAsia="MS Mincho"/>
          <w:color w:val="000000"/>
          <w:sz w:val="22"/>
          <w:szCs w:val="22"/>
        </w:rPr>
        <w:t>oral cancer prevention; and the relationship of oral health to general health.</w:t>
      </w:r>
    </w:p>
    <w:p w:rsidR="00F539E5" w:rsidRPr="00F539E5" w:rsidRDefault="00F539E5" w:rsidP="009F3F4D">
      <w:pPr>
        <w:widowControl w:val="0"/>
        <w:autoSpaceDE w:val="0"/>
        <w:autoSpaceDN w:val="0"/>
        <w:adjustRightInd w:val="0"/>
        <w:spacing w:line="276" w:lineRule="auto"/>
        <w:rPr>
          <w:rFonts w:eastAsia="MS Mincho"/>
          <w:color w:val="000000"/>
          <w:sz w:val="22"/>
          <w:szCs w:val="22"/>
        </w:rPr>
      </w:pPr>
    </w:p>
    <w:p w:rsidR="00F539E5" w:rsidRPr="00F539E5" w:rsidRDefault="00F539E5" w:rsidP="009F3F4D">
      <w:pPr>
        <w:widowControl w:val="0"/>
        <w:autoSpaceDE w:val="0"/>
        <w:autoSpaceDN w:val="0"/>
        <w:adjustRightInd w:val="0"/>
        <w:spacing w:line="276" w:lineRule="auto"/>
        <w:rPr>
          <w:rFonts w:eastAsia="MS Mincho"/>
          <w:color w:val="000000"/>
          <w:sz w:val="22"/>
          <w:szCs w:val="22"/>
        </w:rPr>
      </w:pPr>
      <w:r w:rsidRPr="00F539E5">
        <w:rPr>
          <w:rFonts w:eastAsia="MS Mincho"/>
          <w:color w:val="000000"/>
          <w:sz w:val="22"/>
          <w:szCs w:val="22"/>
        </w:rPr>
        <w:t xml:space="preserve">These school health programs should also target school personnel, facilitating oral health and wellness education and programs. When </w:t>
      </w:r>
      <w:r w:rsidRPr="00F539E5">
        <w:rPr>
          <w:color w:val="000000"/>
          <w:sz w:val="22"/>
          <w:szCs w:val="22"/>
        </w:rPr>
        <w:t>teachers and other school staff have the knowledge necessary to transform their own health and wellbeing, they can serve as role models for students and become agents of change in their communities and schools.</w:t>
      </w:r>
      <w:r w:rsidRPr="00F539E5">
        <w:rPr>
          <w:color w:val="000000"/>
          <w:sz w:val="22"/>
          <w:szCs w:val="22"/>
          <w:vertAlign w:val="superscript"/>
        </w:rPr>
        <w:endnoteReference w:id="9"/>
      </w:r>
      <w:r w:rsidRPr="00F539E5">
        <w:rPr>
          <w:color w:val="000000"/>
          <w:sz w:val="22"/>
          <w:szCs w:val="22"/>
        </w:rPr>
        <w:t xml:space="preserve"> </w:t>
      </w:r>
      <w:r w:rsidRPr="00F539E5">
        <w:rPr>
          <w:rFonts w:eastAsia="MS Mincho"/>
          <w:color w:val="000000"/>
          <w:sz w:val="22"/>
          <w:szCs w:val="22"/>
        </w:rPr>
        <w:t xml:space="preserve"> This holistic and targeted integration can provide children and youth with the knowledge, skills, social support and environmental and community reinforcement needed to adopt long-term behaviors for optimal oral health.</w:t>
      </w:r>
    </w:p>
    <w:p w:rsidR="00F539E5" w:rsidRPr="00F539E5" w:rsidRDefault="00F539E5" w:rsidP="00F539E5">
      <w:pPr>
        <w:widowControl w:val="0"/>
        <w:autoSpaceDE w:val="0"/>
        <w:autoSpaceDN w:val="0"/>
        <w:adjustRightInd w:val="0"/>
        <w:rPr>
          <w:rFonts w:eastAsia="MS Mincho"/>
          <w:color w:val="000000"/>
        </w:rPr>
      </w:pPr>
    </w:p>
    <w:p w:rsidR="00F539E5" w:rsidRDefault="000269AD" w:rsidP="00F539E5">
      <w:pPr>
        <w:pBdr>
          <w:top w:val="single" w:sz="24" w:space="1" w:color="9900CC"/>
          <w:left w:val="single" w:sz="24" w:space="4" w:color="9900CC"/>
          <w:bottom w:val="single" w:sz="24" w:space="1" w:color="9900CC"/>
          <w:right w:val="single" w:sz="24" w:space="4" w:color="9900CC"/>
        </w:pBdr>
        <w:shd w:val="clear" w:color="auto" w:fill="CCCCFF"/>
        <w:tabs>
          <w:tab w:val="left" w:pos="2340"/>
        </w:tabs>
        <w:spacing w:line="360" w:lineRule="auto"/>
        <w:outlineLvl w:val="0"/>
        <w:rPr>
          <w:rFonts w:ascii="Arial" w:hAnsi="Arial" w:cs="Arial"/>
          <w:b/>
          <w:sz w:val="22"/>
          <w:szCs w:val="22"/>
        </w:rPr>
      </w:pPr>
      <w:r w:rsidRPr="00645715">
        <w:rPr>
          <w:rFonts w:ascii="Arial" w:hAnsi="Arial" w:cs="Arial"/>
          <w:b/>
          <w:sz w:val="22"/>
          <w:szCs w:val="22"/>
        </w:rPr>
        <w:t>Policy Statement</w:t>
      </w:r>
      <w:r>
        <w:rPr>
          <w:rFonts w:ascii="Arial" w:hAnsi="Arial" w:cs="Arial"/>
          <w:b/>
          <w:sz w:val="22"/>
          <w:szCs w:val="22"/>
        </w:rPr>
        <w:tab/>
      </w:r>
    </w:p>
    <w:p w:rsidR="00C34935" w:rsidRDefault="00F539E5" w:rsidP="009F3F4D">
      <w:pPr>
        <w:pBdr>
          <w:top w:val="single" w:sz="24" w:space="1" w:color="9900CC"/>
          <w:left w:val="single" w:sz="24" w:space="4" w:color="9900CC"/>
          <w:bottom w:val="single" w:sz="24" w:space="1" w:color="9900CC"/>
          <w:right w:val="single" w:sz="24" w:space="4" w:color="9900CC"/>
        </w:pBdr>
        <w:shd w:val="clear" w:color="auto" w:fill="CCCCFF"/>
        <w:tabs>
          <w:tab w:val="left" w:pos="2340"/>
        </w:tabs>
        <w:spacing w:line="276" w:lineRule="auto"/>
        <w:outlineLvl w:val="0"/>
        <w:rPr>
          <w:rFonts w:ascii="Arial" w:hAnsi="Arial" w:cs="Arial"/>
          <w:sz w:val="22"/>
          <w:szCs w:val="22"/>
        </w:rPr>
      </w:pPr>
      <w:r w:rsidRPr="00F539E5">
        <w:rPr>
          <w:rFonts w:ascii="Arial" w:hAnsi="Arial" w:cs="Arial"/>
          <w:sz w:val="22"/>
          <w:szCs w:val="22"/>
        </w:rPr>
        <w:t xml:space="preserve">The Association of State and Territorial Dental Directors fully supports and endorses a strategic effort within school health programs to integrate </w:t>
      </w:r>
      <w:r w:rsidRPr="001C4559">
        <w:rPr>
          <w:rFonts w:ascii="Arial" w:hAnsi="Arial" w:cs="Arial"/>
          <w:sz w:val="22"/>
          <w:szCs w:val="22"/>
        </w:rPr>
        <w:t>oral</w:t>
      </w:r>
      <w:r w:rsidRPr="00F539E5">
        <w:rPr>
          <w:rFonts w:ascii="Arial" w:hAnsi="Arial" w:cs="Arial"/>
          <w:sz w:val="22"/>
          <w:szCs w:val="22"/>
        </w:rPr>
        <w:t xml:space="preserve"> health into the Whole School, Whole Community, Whole Child school health model.</w:t>
      </w:r>
    </w:p>
    <w:p w:rsidR="00F43DE2" w:rsidRDefault="00F43DE2" w:rsidP="009F3F4D">
      <w:pPr>
        <w:pBdr>
          <w:top w:val="single" w:sz="24" w:space="1" w:color="9900CC"/>
          <w:left w:val="single" w:sz="24" w:space="4" w:color="9900CC"/>
          <w:bottom w:val="single" w:sz="24" w:space="1" w:color="9900CC"/>
          <w:right w:val="single" w:sz="24" w:space="4" w:color="9900CC"/>
        </w:pBdr>
        <w:shd w:val="clear" w:color="auto" w:fill="CCCCFF"/>
        <w:tabs>
          <w:tab w:val="left" w:pos="2340"/>
        </w:tabs>
        <w:outlineLvl w:val="0"/>
        <w:rPr>
          <w:rFonts w:ascii="Arial" w:hAnsi="Arial" w:cs="Arial"/>
          <w:sz w:val="22"/>
          <w:szCs w:val="22"/>
        </w:rPr>
      </w:pPr>
    </w:p>
    <w:p w:rsidR="009F3F4D" w:rsidRDefault="009F3F4D" w:rsidP="00F43DE2">
      <w:pPr>
        <w:rPr>
          <w:rFonts w:ascii="Arial" w:hAnsi="Arial" w:cs="Arial"/>
          <w:sz w:val="22"/>
          <w:szCs w:val="22"/>
        </w:rPr>
      </w:pPr>
    </w:p>
    <w:p w:rsidR="00F43DE2" w:rsidRDefault="00F43DE2" w:rsidP="00F43DE2">
      <w:pPr>
        <w:jc w:val="center"/>
        <w:rPr>
          <w:rFonts w:eastAsia="SimSun"/>
          <w:iCs/>
          <w:sz w:val="22"/>
          <w:szCs w:val="22"/>
          <w:lang w:eastAsia="zh-CN"/>
        </w:rPr>
      </w:pPr>
      <w:r>
        <w:rPr>
          <w:rFonts w:eastAsia="SimSun"/>
          <w:iCs/>
          <w:sz w:val="22"/>
          <w:szCs w:val="22"/>
          <w:lang w:eastAsia="zh-CN"/>
        </w:rPr>
        <w:t xml:space="preserve">The ASTDD Dental Public Health Resources Committee acknowledges the ASTDD </w:t>
      </w:r>
      <w:r>
        <w:rPr>
          <w:rFonts w:eastAsia="SimSun"/>
          <w:iCs/>
          <w:sz w:val="22"/>
          <w:szCs w:val="22"/>
          <w:lang w:eastAsia="zh-CN"/>
        </w:rPr>
        <w:t xml:space="preserve">School and Adolescent Oral Health </w:t>
      </w:r>
      <w:r>
        <w:rPr>
          <w:rFonts w:eastAsia="SimSun"/>
          <w:iCs/>
          <w:sz w:val="22"/>
          <w:szCs w:val="22"/>
          <w:lang w:eastAsia="zh-CN"/>
        </w:rPr>
        <w:t xml:space="preserve">Committee for their work in </w:t>
      </w:r>
      <w:bookmarkStart w:id="0" w:name="_GoBack"/>
      <w:bookmarkEnd w:id="0"/>
      <w:r>
        <w:rPr>
          <w:rFonts w:eastAsia="SimSun"/>
          <w:iCs/>
          <w:sz w:val="22"/>
          <w:szCs w:val="22"/>
          <w:lang w:eastAsia="zh-CN"/>
        </w:rPr>
        <w:t>drafting this document.</w:t>
      </w:r>
    </w:p>
    <w:sectPr w:rsidR="00F43DE2" w:rsidSect="009F3F4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6B" w:rsidRDefault="00644B6B">
      <w:r>
        <w:separator/>
      </w:r>
    </w:p>
  </w:endnote>
  <w:endnote w:type="continuationSeparator" w:id="0">
    <w:p w:rsidR="00644B6B" w:rsidRDefault="00644B6B">
      <w:r>
        <w:continuationSeparator/>
      </w:r>
    </w:p>
  </w:endnote>
  <w:endnote w:id="1">
    <w:p w:rsidR="00F43DE2" w:rsidRDefault="00F43DE2" w:rsidP="00F539E5">
      <w:pPr>
        <w:pStyle w:val="EndnoteText"/>
        <w:rPr>
          <w:sz w:val="18"/>
          <w:szCs w:val="18"/>
        </w:rPr>
      </w:pPr>
    </w:p>
    <w:p w:rsidR="00F539E5" w:rsidRPr="00D566BB" w:rsidRDefault="00F539E5" w:rsidP="00F539E5">
      <w:pPr>
        <w:pStyle w:val="EndnoteText"/>
        <w:rPr>
          <w:sz w:val="18"/>
          <w:szCs w:val="18"/>
        </w:rPr>
      </w:pPr>
      <w:r w:rsidRPr="00D566BB">
        <w:rPr>
          <w:rStyle w:val="EndnoteReference"/>
          <w:sz w:val="18"/>
          <w:szCs w:val="18"/>
        </w:rPr>
        <w:endnoteRef/>
      </w:r>
      <w:r w:rsidRPr="00D566BB">
        <w:rPr>
          <w:sz w:val="18"/>
          <w:szCs w:val="18"/>
        </w:rPr>
        <w:t xml:space="preserve"> </w:t>
      </w:r>
      <w:proofErr w:type="gramStart"/>
      <w:r w:rsidRPr="00D566BB">
        <w:rPr>
          <w:sz w:val="18"/>
          <w:szCs w:val="18"/>
        </w:rPr>
        <w:t>U.S. Department of Health and Human Services.</w:t>
      </w:r>
      <w:proofErr w:type="gramEnd"/>
      <w:r w:rsidRPr="00D566BB">
        <w:rPr>
          <w:sz w:val="18"/>
          <w:szCs w:val="18"/>
        </w:rPr>
        <w:t xml:space="preserve"> </w:t>
      </w:r>
      <w:r w:rsidRPr="00D566BB">
        <w:rPr>
          <w:i/>
          <w:iCs/>
          <w:sz w:val="18"/>
          <w:szCs w:val="18"/>
        </w:rPr>
        <w:t>Oral Health in America: A Report of the Surgeon General</w:t>
      </w:r>
      <w:r w:rsidRPr="00D566BB">
        <w:rPr>
          <w:sz w:val="18"/>
          <w:szCs w:val="18"/>
        </w:rPr>
        <w:t>. Rockville, MD: U.S. Department of Health and Human Services, National Institute of Dental and Craniofacial Research, National Institutes of Health; 2000.</w:t>
      </w:r>
    </w:p>
  </w:endnote>
  <w:endnote w:id="2">
    <w:p w:rsidR="00F539E5" w:rsidRPr="00D566BB" w:rsidRDefault="00F539E5" w:rsidP="00F539E5">
      <w:pPr>
        <w:pStyle w:val="EndnoteText"/>
        <w:rPr>
          <w:sz w:val="18"/>
          <w:szCs w:val="18"/>
        </w:rPr>
      </w:pPr>
      <w:r w:rsidRPr="00D566BB">
        <w:rPr>
          <w:rStyle w:val="EndnoteReference"/>
          <w:sz w:val="18"/>
          <w:szCs w:val="18"/>
        </w:rPr>
        <w:endnoteRef/>
      </w:r>
      <w:r w:rsidRPr="00D566BB">
        <w:rPr>
          <w:sz w:val="18"/>
          <w:szCs w:val="18"/>
        </w:rPr>
        <w:t xml:space="preserve"> </w:t>
      </w:r>
      <w:proofErr w:type="spellStart"/>
      <w:r w:rsidRPr="00D566BB">
        <w:rPr>
          <w:sz w:val="18"/>
          <w:szCs w:val="18"/>
        </w:rPr>
        <w:t>McCart</w:t>
      </w:r>
      <w:proofErr w:type="spellEnd"/>
      <w:r w:rsidRPr="00D566BB">
        <w:rPr>
          <w:sz w:val="18"/>
          <w:szCs w:val="18"/>
        </w:rPr>
        <w:t xml:space="preserve"> L, </w:t>
      </w:r>
      <w:proofErr w:type="spellStart"/>
      <w:r w:rsidRPr="00D566BB">
        <w:rPr>
          <w:sz w:val="18"/>
          <w:szCs w:val="18"/>
        </w:rPr>
        <w:t>Stief</w:t>
      </w:r>
      <w:proofErr w:type="spellEnd"/>
      <w:r w:rsidRPr="00D566BB">
        <w:rPr>
          <w:sz w:val="18"/>
          <w:szCs w:val="18"/>
        </w:rPr>
        <w:t xml:space="preserve"> E. </w:t>
      </w:r>
      <w:r w:rsidRPr="00D566BB">
        <w:rPr>
          <w:i/>
          <w:iCs/>
          <w:sz w:val="18"/>
          <w:szCs w:val="18"/>
        </w:rPr>
        <w:t>Creating Collaborative Frameworks for School Readiness</w:t>
      </w:r>
      <w:r w:rsidRPr="00D566BB">
        <w:rPr>
          <w:sz w:val="18"/>
          <w:szCs w:val="18"/>
        </w:rPr>
        <w:t xml:space="preserve">. Washington, DC: National Governors’ Association. 1996. Cited by: Katrina Holt and Karen Kraft. Oral Health and Learning: When Children’s Health Suffers, So Does Their Ability to Learn. </w:t>
      </w:r>
      <w:proofErr w:type="gramStart"/>
      <w:r w:rsidRPr="00D566BB">
        <w:rPr>
          <w:sz w:val="18"/>
          <w:szCs w:val="18"/>
        </w:rPr>
        <w:t>National Maternal and Child Health Resource Center, Georgetown University.</w:t>
      </w:r>
      <w:proofErr w:type="gramEnd"/>
      <w:r w:rsidRPr="00D566BB">
        <w:rPr>
          <w:sz w:val="18"/>
          <w:szCs w:val="18"/>
        </w:rPr>
        <w:t xml:space="preserve"> 2003.</w:t>
      </w:r>
    </w:p>
  </w:endnote>
  <w:endnote w:id="3">
    <w:p w:rsidR="00F539E5" w:rsidRPr="00D566BB" w:rsidRDefault="00F539E5" w:rsidP="00F539E5">
      <w:pPr>
        <w:pStyle w:val="EndnoteText"/>
        <w:rPr>
          <w:sz w:val="18"/>
          <w:szCs w:val="18"/>
        </w:rPr>
      </w:pPr>
      <w:r w:rsidRPr="00D566BB">
        <w:rPr>
          <w:rStyle w:val="EndnoteReference"/>
          <w:sz w:val="18"/>
          <w:szCs w:val="18"/>
        </w:rPr>
        <w:endnoteRef/>
      </w:r>
      <w:r w:rsidRPr="00D566BB">
        <w:rPr>
          <w:sz w:val="18"/>
          <w:szCs w:val="18"/>
        </w:rPr>
        <w:t xml:space="preserve"> </w:t>
      </w:r>
      <w:proofErr w:type="gramStart"/>
      <w:r w:rsidRPr="00D566BB">
        <w:rPr>
          <w:sz w:val="18"/>
          <w:szCs w:val="18"/>
        </w:rPr>
        <w:t>Gift, HC.</w:t>
      </w:r>
      <w:proofErr w:type="gramEnd"/>
      <w:r w:rsidRPr="00D566BB">
        <w:rPr>
          <w:sz w:val="18"/>
          <w:szCs w:val="18"/>
        </w:rPr>
        <w:t xml:space="preserve"> Oral health outcomes research: Challenges and opportunities. In Slade, GD, ed., </w:t>
      </w:r>
      <w:r w:rsidRPr="00D566BB">
        <w:rPr>
          <w:i/>
          <w:iCs/>
          <w:sz w:val="18"/>
          <w:szCs w:val="18"/>
        </w:rPr>
        <w:t>Measuring Oral Health and Quality of Life</w:t>
      </w:r>
      <w:r w:rsidRPr="00D566BB">
        <w:rPr>
          <w:sz w:val="18"/>
          <w:szCs w:val="18"/>
        </w:rPr>
        <w:t xml:space="preserve">. Chapel Hill, NC: Department of Dental Ecology, University of North Carolina. 1997:25-46. Cited by: Katrina Holt and Karen Kraft. Oral Health and Learning: When Children’s Health Suffers, So Does Their Ability to Learn. </w:t>
      </w:r>
      <w:proofErr w:type="gramStart"/>
      <w:r w:rsidRPr="00D566BB">
        <w:rPr>
          <w:sz w:val="18"/>
          <w:szCs w:val="18"/>
        </w:rPr>
        <w:t>National Maternal and Child Health Resource Center, Georgetown University.</w:t>
      </w:r>
      <w:proofErr w:type="gramEnd"/>
      <w:r w:rsidRPr="00D566BB">
        <w:rPr>
          <w:sz w:val="18"/>
          <w:szCs w:val="18"/>
        </w:rPr>
        <w:t xml:space="preserve"> 2003.</w:t>
      </w:r>
    </w:p>
  </w:endnote>
  <w:endnote w:id="4">
    <w:p w:rsidR="00F539E5" w:rsidRPr="00D566BB" w:rsidRDefault="00F539E5" w:rsidP="00F539E5">
      <w:pPr>
        <w:rPr>
          <w:sz w:val="18"/>
          <w:szCs w:val="18"/>
        </w:rPr>
      </w:pPr>
      <w:r w:rsidRPr="00D566BB">
        <w:rPr>
          <w:rStyle w:val="EndnoteReference"/>
          <w:sz w:val="18"/>
          <w:szCs w:val="18"/>
        </w:rPr>
        <w:endnoteRef/>
      </w:r>
      <w:r w:rsidRPr="00D566BB">
        <w:rPr>
          <w:sz w:val="18"/>
          <w:szCs w:val="18"/>
        </w:rPr>
        <w:t xml:space="preserve"> Preventing Chronic Diseases: Investing Wisely in Health; </w:t>
      </w:r>
      <w:proofErr w:type="gramStart"/>
      <w:r w:rsidRPr="00D566BB">
        <w:rPr>
          <w:sz w:val="18"/>
          <w:szCs w:val="18"/>
        </w:rPr>
        <w:t>The</w:t>
      </w:r>
      <w:proofErr w:type="gramEnd"/>
      <w:r w:rsidRPr="00D566BB">
        <w:rPr>
          <w:sz w:val="18"/>
          <w:szCs w:val="18"/>
        </w:rPr>
        <w:t xml:space="preserve"> Critical Role of School Health Programs, September 2003. CDC website: www.cdc.gov/nccdphp/publications/factsheets/Prevention/pdf/schoolhealth.pdf. </w:t>
      </w:r>
      <w:proofErr w:type="gramStart"/>
      <w:r w:rsidRPr="00D566BB">
        <w:rPr>
          <w:sz w:val="18"/>
          <w:szCs w:val="18"/>
        </w:rPr>
        <w:t>Accessed January 4, 2011</w:t>
      </w:r>
      <w:r>
        <w:rPr>
          <w:sz w:val="18"/>
          <w:szCs w:val="18"/>
        </w:rPr>
        <w:t>.</w:t>
      </w:r>
      <w:proofErr w:type="gramEnd"/>
    </w:p>
  </w:endnote>
  <w:endnote w:id="5">
    <w:p w:rsidR="00F539E5" w:rsidRPr="00D566BB" w:rsidRDefault="00F539E5" w:rsidP="00F539E5">
      <w:pPr>
        <w:pStyle w:val="EndnoteText"/>
        <w:rPr>
          <w:sz w:val="18"/>
          <w:szCs w:val="18"/>
        </w:rPr>
      </w:pPr>
      <w:r w:rsidRPr="00D566BB">
        <w:rPr>
          <w:rStyle w:val="EndnoteReference"/>
          <w:sz w:val="18"/>
          <w:szCs w:val="18"/>
        </w:rPr>
        <w:endnoteRef/>
      </w:r>
      <w:r w:rsidRPr="00D566BB">
        <w:rPr>
          <w:sz w:val="18"/>
          <w:szCs w:val="18"/>
        </w:rPr>
        <w:t xml:space="preserve"> </w:t>
      </w:r>
      <w:proofErr w:type="gramStart"/>
      <w:r w:rsidRPr="00D566BB">
        <w:rPr>
          <w:color w:val="000000"/>
          <w:sz w:val="18"/>
          <w:szCs w:val="18"/>
        </w:rPr>
        <w:t>U.S. Department of Education, National Center for Education Statistics.</w:t>
      </w:r>
      <w:proofErr w:type="gramEnd"/>
      <w:r w:rsidRPr="00D566BB">
        <w:rPr>
          <w:color w:val="000000"/>
          <w:sz w:val="18"/>
          <w:szCs w:val="18"/>
        </w:rPr>
        <w:t xml:space="preserve"> Digest of Ed Stat: Table 105.20, 2015. Website: https://nces.ed.gov/programs/digest/d13/tables/dt13_105.20.asp</w:t>
      </w:r>
      <w:r>
        <w:rPr>
          <w:color w:val="000000"/>
          <w:sz w:val="18"/>
          <w:szCs w:val="18"/>
        </w:rPr>
        <w:t xml:space="preserve"> and </w:t>
      </w:r>
      <w:r w:rsidRPr="00EC7F65">
        <w:rPr>
          <w:sz w:val="18"/>
          <w:szCs w:val="18"/>
        </w:rPr>
        <w:t>http://nces.ed.gov/programs/digest/d12/tables/dt12_098.asp</w:t>
      </w:r>
      <w:r>
        <w:rPr>
          <w:sz w:val="18"/>
          <w:szCs w:val="18"/>
        </w:rPr>
        <w:t>.</w:t>
      </w:r>
    </w:p>
    <w:p w:rsidR="00F539E5" w:rsidRPr="00D566BB" w:rsidRDefault="00F539E5" w:rsidP="00F539E5">
      <w:pPr>
        <w:pStyle w:val="EndnoteText"/>
        <w:rPr>
          <w:sz w:val="18"/>
          <w:szCs w:val="18"/>
        </w:rPr>
      </w:pPr>
      <w:proofErr w:type="gramStart"/>
      <w:r w:rsidRPr="00D566BB">
        <w:rPr>
          <w:color w:val="000000"/>
          <w:sz w:val="18"/>
          <w:szCs w:val="18"/>
        </w:rPr>
        <w:t>Accessed August 19, 2015.</w:t>
      </w:r>
      <w:proofErr w:type="gramEnd"/>
    </w:p>
  </w:endnote>
  <w:endnote w:id="6">
    <w:p w:rsidR="00F539E5" w:rsidRPr="00D566BB" w:rsidRDefault="00F539E5" w:rsidP="00F539E5">
      <w:pPr>
        <w:pStyle w:val="EndnoteText"/>
        <w:rPr>
          <w:sz w:val="18"/>
          <w:szCs w:val="18"/>
        </w:rPr>
      </w:pPr>
      <w:r w:rsidRPr="00D566BB">
        <w:rPr>
          <w:rStyle w:val="EndnoteReference"/>
          <w:sz w:val="18"/>
          <w:szCs w:val="18"/>
        </w:rPr>
        <w:endnoteRef/>
      </w:r>
      <w:r w:rsidRPr="00D566BB">
        <w:rPr>
          <w:sz w:val="18"/>
          <w:szCs w:val="18"/>
        </w:rPr>
        <w:t xml:space="preserve"> </w:t>
      </w:r>
      <w:proofErr w:type="gramStart"/>
      <w:r w:rsidRPr="00D566BB">
        <w:rPr>
          <w:sz w:val="18"/>
          <w:szCs w:val="18"/>
        </w:rPr>
        <w:t>Association for Supervision and Curriculum Development.</w:t>
      </w:r>
      <w:proofErr w:type="gramEnd"/>
      <w:r w:rsidRPr="00D566BB">
        <w:rPr>
          <w:sz w:val="18"/>
          <w:szCs w:val="18"/>
        </w:rPr>
        <w:t xml:space="preserve"> </w:t>
      </w:r>
      <w:proofErr w:type="gramStart"/>
      <w:r w:rsidRPr="00D566BB">
        <w:rPr>
          <w:sz w:val="18"/>
          <w:szCs w:val="18"/>
        </w:rPr>
        <w:t>Learning and Health.</w:t>
      </w:r>
      <w:proofErr w:type="gramEnd"/>
      <w:r w:rsidRPr="00D566BB">
        <w:rPr>
          <w:sz w:val="18"/>
          <w:szCs w:val="18"/>
        </w:rPr>
        <w:t xml:space="preserve"> </w:t>
      </w:r>
      <w:proofErr w:type="gramStart"/>
      <w:r w:rsidRPr="00D566BB">
        <w:rPr>
          <w:i/>
          <w:sz w:val="18"/>
          <w:szCs w:val="18"/>
        </w:rPr>
        <w:t>Whole School, Whole Community, Whole Child</w:t>
      </w:r>
      <w:r w:rsidRPr="00D566BB">
        <w:rPr>
          <w:sz w:val="18"/>
          <w:szCs w:val="18"/>
        </w:rPr>
        <w:t>.</w:t>
      </w:r>
      <w:proofErr w:type="gramEnd"/>
      <w:r w:rsidRPr="00D566BB">
        <w:rPr>
          <w:sz w:val="18"/>
          <w:szCs w:val="18"/>
        </w:rPr>
        <w:t xml:space="preserve"> Website: </w:t>
      </w:r>
      <w:hyperlink r:id="rId1" w:history="1">
        <w:r w:rsidRPr="00932F84">
          <w:rPr>
            <w:rStyle w:val="Hyperlink"/>
            <w:rFonts w:ascii="Times New Roman" w:hAnsi="Times New Roman" w:cs="Times New Roman"/>
            <w:sz w:val="18"/>
            <w:szCs w:val="18"/>
          </w:rPr>
          <w:t>http://www.ascd.org/programs/learning-and-health/wscc-model.aspx</w:t>
        </w:r>
      </w:hyperlink>
      <w:r w:rsidRPr="00932F84">
        <w:rPr>
          <w:sz w:val="18"/>
          <w:szCs w:val="18"/>
        </w:rPr>
        <w:t>.</w:t>
      </w:r>
      <w:r w:rsidRPr="00D566BB">
        <w:rPr>
          <w:sz w:val="18"/>
          <w:szCs w:val="18"/>
        </w:rPr>
        <w:t xml:space="preserve"> </w:t>
      </w:r>
      <w:proofErr w:type="gramStart"/>
      <w:r w:rsidRPr="00D566BB">
        <w:rPr>
          <w:sz w:val="18"/>
          <w:szCs w:val="18"/>
        </w:rPr>
        <w:t>Accessed August 24, 2015.</w:t>
      </w:r>
      <w:proofErr w:type="gramEnd"/>
    </w:p>
  </w:endnote>
  <w:endnote w:id="7">
    <w:p w:rsidR="00F539E5" w:rsidRPr="00D566BB" w:rsidRDefault="00F539E5" w:rsidP="00F539E5">
      <w:pPr>
        <w:pStyle w:val="EndnoteText"/>
        <w:rPr>
          <w:sz w:val="18"/>
          <w:szCs w:val="18"/>
        </w:rPr>
      </w:pPr>
      <w:r w:rsidRPr="00D566BB">
        <w:rPr>
          <w:rStyle w:val="EndnoteReference"/>
          <w:sz w:val="18"/>
          <w:szCs w:val="18"/>
        </w:rPr>
        <w:endnoteRef/>
      </w:r>
      <w:r w:rsidRPr="00D566BB">
        <w:rPr>
          <w:sz w:val="18"/>
          <w:szCs w:val="18"/>
        </w:rPr>
        <w:t xml:space="preserve"> </w:t>
      </w:r>
      <w:proofErr w:type="gramStart"/>
      <w:r w:rsidRPr="00D566BB">
        <w:rPr>
          <w:sz w:val="18"/>
          <w:szCs w:val="18"/>
        </w:rPr>
        <w:t>Centers for Disease Control and Prevention.</w:t>
      </w:r>
      <w:proofErr w:type="gramEnd"/>
      <w:r w:rsidRPr="00D566BB">
        <w:rPr>
          <w:sz w:val="18"/>
          <w:szCs w:val="18"/>
        </w:rPr>
        <w:t xml:space="preserve"> </w:t>
      </w:r>
      <w:proofErr w:type="gramStart"/>
      <w:r w:rsidRPr="00D566BB">
        <w:rPr>
          <w:sz w:val="18"/>
          <w:szCs w:val="18"/>
        </w:rPr>
        <w:t>National Center for Chronic Disease Prevention and Health Promotion.</w:t>
      </w:r>
      <w:proofErr w:type="gramEnd"/>
      <w:r w:rsidRPr="00D566BB">
        <w:rPr>
          <w:sz w:val="18"/>
          <w:szCs w:val="18"/>
        </w:rPr>
        <w:t xml:space="preserve"> School Health Programs: Improving the Health of our Nation’s Youth. </w:t>
      </w:r>
      <w:proofErr w:type="gramStart"/>
      <w:r w:rsidRPr="00D566BB">
        <w:rPr>
          <w:i/>
          <w:iCs/>
          <w:sz w:val="18"/>
          <w:szCs w:val="18"/>
        </w:rPr>
        <w:t>At a Glance.</w:t>
      </w:r>
      <w:proofErr w:type="gramEnd"/>
      <w:r w:rsidRPr="00D566BB">
        <w:rPr>
          <w:i/>
          <w:iCs/>
          <w:sz w:val="18"/>
          <w:szCs w:val="18"/>
        </w:rPr>
        <w:t xml:space="preserve"> </w:t>
      </w:r>
      <w:r w:rsidRPr="00D566BB">
        <w:rPr>
          <w:sz w:val="18"/>
          <w:szCs w:val="18"/>
        </w:rPr>
        <w:t>2010.</w:t>
      </w:r>
    </w:p>
  </w:endnote>
  <w:endnote w:id="8">
    <w:p w:rsidR="00F539E5" w:rsidRPr="00D566BB" w:rsidRDefault="00F539E5" w:rsidP="00F539E5">
      <w:pPr>
        <w:pStyle w:val="EndnoteText"/>
        <w:rPr>
          <w:sz w:val="18"/>
          <w:szCs w:val="18"/>
        </w:rPr>
      </w:pPr>
      <w:r w:rsidRPr="00D566BB">
        <w:rPr>
          <w:rStyle w:val="EndnoteReference"/>
          <w:sz w:val="18"/>
          <w:szCs w:val="18"/>
        </w:rPr>
        <w:endnoteRef/>
      </w:r>
      <w:r w:rsidRPr="00D566BB">
        <w:rPr>
          <w:sz w:val="18"/>
          <w:szCs w:val="18"/>
        </w:rPr>
        <w:t xml:space="preserve"> </w:t>
      </w:r>
      <w:r w:rsidRPr="00D566BB">
        <w:rPr>
          <w:color w:val="000000"/>
          <w:sz w:val="18"/>
          <w:szCs w:val="18"/>
        </w:rPr>
        <w:t>Whole School, Whole Community, Whole Child: a collaborative approach to learning and health. Centers for Disease Control and Prevention Website: http://www.cdc.gov/healthyyouth/wscc/. 2014. Accessed August 19, 2015.</w:t>
      </w:r>
    </w:p>
  </w:endnote>
  <w:endnote w:id="9">
    <w:p w:rsidR="00F539E5" w:rsidRPr="00D566BB" w:rsidRDefault="00F539E5" w:rsidP="00F539E5">
      <w:pPr>
        <w:rPr>
          <w:sz w:val="18"/>
          <w:szCs w:val="18"/>
        </w:rPr>
      </w:pPr>
      <w:r w:rsidRPr="00D566BB">
        <w:rPr>
          <w:rStyle w:val="EndnoteReference"/>
          <w:sz w:val="18"/>
          <w:szCs w:val="18"/>
        </w:rPr>
        <w:endnoteRef/>
      </w:r>
      <w:r w:rsidRPr="00D566BB">
        <w:rPr>
          <w:sz w:val="18"/>
          <w:szCs w:val="18"/>
        </w:rPr>
        <w:t xml:space="preserve"> </w:t>
      </w:r>
      <w:proofErr w:type="spellStart"/>
      <w:r w:rsidRPr="00D566BB">
        <w:rPr>
          <w:sz w:val="18"/>
          <w:szCs w:val="18"/>
        </w:rPr>
        <w:t>Lewison</w:t>
      </w:r>
      <w:proofErr w:type="spellEnd"/>
      <w:r w:rsidRPr="00D566BB">
        <w:rPr>
          <w:sz w:val="18"/>
          <w:szCs w:val="18"/>
        </w:rPr>
        <w:t xml:space="preserve">-Grant D. </w:t>
      </w:r>
      <w:r w:rsidRPr="00D566BB">
        <w:rPr>
          <w:i/>
          <w:sz w:val="18"/>
          <w:szCs w:val="18"/>
        </w:rPr>
        <w:t xml:space="preserve">Healthy teachers equals healthy students: An intervention to change school culture. </w:t>
      </w:r>
      <w:r w:rsidRPr="00D566BB">
        <w:rPr>
          <w:sz w:val="18"/>
          <w:szCs w:val="18"/>
        </w:rPr>
        <w:t xml:space="preserve">141 American Public Health Association Annual Meeting, November 5, 2013.  Website: </w:t>
      </w:r>
      <w:hyperlink r:id="rId2" w:history="1">
        <w:r w:rsidRPr="00932F84">
          <w:rPr>
            <w:rStyle w:val="Hyperlink"/>
            <w:rFonts w:ascii="Times New Roman" w:hAnsi="Times New Roman" w:cs="Times New Roman"/>
            <w:sz w:val="18"/>
            <w:szCs w:val="18"/>
          </w:rPr>
          <w:t>https://apha.confex.com/apha/141am/webprogram/Paper286446.html</w:t>
        </w:r>
      </w:hyperlink>
      <w:r w:rsidRPr="00932F84">
        <w:rPr>
          <w:sz w:val="18"/>
          <w:szCs w:val="18"/>
        </w:rPr>
        <w:t>.</w:t>
      </w:r>
      <w:r w:rsidRPr="00D566BB">
        <w:rPr>
          <w:sz w:val="18"/>
          <w:szCs w:val="18"/>
        </w:rPr>
        <w:t xml:space="preserve"> </w:t>
      </w:r>
      <w:proofErr w:type="gramStart"/>
      <w:r w:rsidRPr="00D566BB">
        <w:rPr>
          <w:sz w:val="18"/>
          <w:szCs w:val="18"/>
        </w:rPr>
        <w:t>Accessed August 20, 2015.</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9D2" w:rsidRDefault="002B5375" w:rsidP="00CC4FB1">
    <w:pPr>
      <w:pStyle w:val="Footer"/>
      <w:framePr w:wrap="around" w:vAnchor="text" w:hAnchor="margin" w:xAlign="center" w:y="1"/>
      <w:rPr>
        <w:rStyle w:val="PageNumber"/>
      </w:rPr>
    </w:pPr>
    <w:r>
      <w:rPr>
        <w:rStyle w:val="PageNumber"/>
      </w:rPr>
      <w:fldChar w:fldCharType="begin"/>
    </w:r>
    <w:r w:rsidR="00A329D2">
      <w:rPr>
        <w:rStyle w:val="PageNumber"/>
      </w:rPr>
      <w:instrText xml:space="preserve">PAGE  </w:instrText>
    </w:r>
    <w:r>
      <w:rPr>
        <w:rStyle w:val="PageNumber"/>
      </w:rPr>
      <w:fldChar w:fldCharType="end"/>
    </w:r>
  </w:p>
  <w:p w:rsidR="00A329D2" w:rsidRDefault="00A329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4D" w:rsidRDefault="009F3F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4D" w:rsidRDefault="009F3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6B" w:rsidRDefault="00644B6B">
      <w:r>
        <w:separator/>
      </w:r>
    </w:p>
  </w:footnote>
  <w:footnote w:type="continuationSeparator" w:id="0">
    <w:p w:rsidR="00644B6B" w:rsidRDefault="00644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4D" w:rsidRDefault="009F3F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4D" w:rsidRDefault="009F3F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4D" w:rsidRDefault="009F3F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9B55DC"/>
    <w:rsid w:val="00006820"/>
    <w:rsid w:val="00010DEF"/>
    <w:rsid w:val="000213CF"/>
    <w:rsid w:val="0002151E"/>
    <w:rsid w:val="00025A55"/>
    <w:rsid w:val="000269AD"/>
    <w:rsid w:val="00031F45"/>
    <w:rsid w:val="000429C2"/>
    <w:rsid w:val="00067F4C"/>
    <w:rsid w:val="00085386"/>
    <w:rsid w:val="000871AA"/>
    <w:rsid w:val="00092310"/>
    <w:rsid w:val="000A7A8B"/>
    <w:rsid w:val="000C4BA4"/>
    <w:rsid w:val="000F0205"/>
    <w:rsid w:val="000F4211"/>
    <w:rsid w:val="00101CBD"/>
    <w:rsid w:val="001048EF"/>
    <w:rsid w:val="00152DC8"/>
    <w:rsid w:val="00155D48"/>
    <w:rsid w:val="0017637A"/>
    <w:rsid w:val="00193A5A"/>
    <w:rsid w:val="001A7551"/>
    <w:rsid w:val="001B029B"/>
    <w:rsid w:val="001B6E19"/>
    <w:rsid w:val="001C4559"/>
    <w:rsid w:val="001F6AC9"/>
    <w:rsid w:val="00230B01"/>
    <w:rsid w:val="00235370"/>
    <w:rsid w:val="00250D97"/>
    <w:rsid w:val="002511F0"/>
    <w:rsid w:val="002733C8"/>
    <w:rsid w:val="00283F36"/>
    <w:rsid w:val="00291730"/>
    <w:rsid w:val="002A7F61"/>
    <w:rsid w:val="002B49A4"/>
    <w:rsid w:val="002B5375"/>
    <w:rsid w:val="002B6A0B"/>
    <w:rsid w:val="002D6921"/>
    <w:rsid w:val="00315659"/>
    <w:rsid w:val="00341835"/>
    <w:rsid w:val="00347F4F"/>
    <w:rsid w:val="00366513"/>
    <w:rsid w:val="00371187"/>
    <w:rsid w:val="003C73AE"/>
    <w:rsid w:val="00411BE5"/>
    <w:rsid w:val="0042752A"/>
    <w:rsid w:val="004444DE"/>
    <w:rsid w:val="004864D8"/>
    <w:rsid w:val="004A4F85"/>
    <w:rsid w:val="004A6626"/>
    <w:rsid w:val="004A74A8"/>
    <w:rsid w:val="004B0B6E"/>
    <w:rsid w:val="004C1708"/>
    <w:rsid w:val="004C6C92"/>
    <w:rsid w:val="004E114B"/>
    <w:rsid w:val="004E132A"/>
    <w:rsid w:val="004E24EE"/>
    <w:rsid w:val="004E36A2"/>
    <w:rsid w:val="004E4623"/>
    <w:rsid w:val="005033DC"/>
    <w:rsid w:val="005046C8"/>
    <w:rsid w:val="00512990"/>
    <w:rsid w:val="00516A17"/>
    <w:rsid w:val="00517436"/>
    <w:rsid w:val="00575942"/>
    <w:rsid w:val="005A057F"/>
    <w:rsid w:val="005B1095"/>
    <w:rsid w:val="005B2D44"/>
    <w:rsid w:val="005D5076"/>
    <w:rsid w:val="005E1628"/>
    <w:rsid w:val="005E3BC5"/>
    <w:rsid w:val="005E65D5"/>
    <w:rsid w:val="00600619"/>
    <w:rsid w:val="00601EA6"/>
    <w:rsid w:val="00630619"/>
    <w:rsid w:val="00644B6B"/>
    <w:rsid w:val="0066174B"/>
    <w:rsid w:val="00663909"/>
    <w:rsid w:val="00680B92"/>
    <w:rsid w:val="00693642"/>
    <w:rsid w:val="006B31FB"/>
    <w:rsid w:val="006E3978"/>
    <w:rsid w:val="006F2FE7"/>
    <w:rsid w:val="00740518"/>
    <w:rsid w:val="00767C7E"/>
    <w:rsid w:val="00772280"/>
    <w:rsid w:val="00796062"/>
    <w:rsid w:val="007C5E14"/>
    <w:rsid w:val="00803E99"/>
    <w:rsid w:val="00810711"/>
    <w:rsid w:val="0082369C"/>
    <w:rsid w:val="00835244"/>
    <w:rsid w:val="00851355"/>
    <w:rsid w:val="008636C8"/>
    <w:rsid w:val="00890BE5"/>
    <w:rsid w:val="008A027E"/>
    <w:rsid w:val="008A22BE"/>
    <w:rsid w:val="008A397F"/>
    <w:rsid w:val="008C369B"/>
    <w:rsid w:val="008E18D2"/>
    <w:rsid w:val="008E1D5F"/>
    <w:rsid w:val="008E7B30"/>
    <w:rsid w:val="0090116D"/>
    <w:rsid w:val="00903F9E"/>
    <w:rsid w:val="00915D2C"/>
    <w:rsid w:val="0093186B"/>
    <w:rsid w:val="00932F84"/>
    <w:rsid w:val="009438B1"/>
    <w:rsid w:val="00943B67"/>
    <w:rsid w:val="00957E3D"/>
    <w:rsid w:val="009605AA"/>
    <w:rsid w:val="009939CE"/>
    <w:rsid w:val="0099461F"/>
    <w:rsid w:val="009B55DC"/>
    <w:rsid w:val="009B7935"/>
    <w:rsid w:val="009D354E"/>
    <w:rsid w:val="009D679B"/>
    <w:rsid w:val="009E59A9"/>
    <w:rsid w:val="009F3F4D"/>
    <w:rsid w:val="009F6D20"/>
    <w:rsid w:val="00A16753"/>
    <w:rsid w:val="00A329D2"/>
    <w:rsid w:val="00A46499"/>
    <w:rsid w:val="00A76683"/>
    <w:rsid w:val="00A85F7F"/>
    <w:rsid w:val="00AA13C8"/>
    <w:rsid w:val="00AB3DD3"/>
    <w:rsid w:val="00AC121F"/>
    <w:rsid w:val="00AD2ECD"/>
    <w:rsid w:val="00AF437A"/>
    <w:rsid w:val="00B16FEB"/>
    <w:rsid w:val="00B35E1D"/>
    <w:rsid w:val="00B45A1E"/>
    <w:rsid w:val="00B50267"/>
    <w:rsid w:val="00B847C3"/>
    <w:rsid w:val="00BC4BBD"/>
    <w:rsid w:val="00BC5F69"/>
    <w:rsid w:val="00BC69E7"/>
    <w:rsid w:val="00BD2BF7"/>
    <w:rsid w:val="00C34935"/>
    <w:rsid w:val="00C35BF3"/>
    <w:rsid w:val="00C41DDB"/>
    <w:rsid w:val="00C53148"/>
    <w:rsid w:val="00C7621B"/>
    <w:rsid w:val="00C91AB5"/>
    <w:rsid w:val="00CA7979"/>
    <w:rsid w:val="00CC4FB1"/>
    <w:rsid w:val="00CE68F4"/>
    <w:rsid w:val="00CF2424"/>
    <w:rsid w:val="00CF58ED"/>
    <w:rsid w:val="00D00534"/>
    <w:rsid w:val="00D11182"/>
    <w:rsid w:val="00D307B3"/>
    <w:rsid w:val="00D46543"/>
    <w:rsid w:val="00D54B8A"/>
    <w:rsid w:val="00D57A04"/>
    <w:rsid w:val="00D65238"/>
    <w:rsid w:val="00D860E1"/>
    <w:rsid w:val="00D9257A"/>
    <w:rsid w:val="00DD5B7E"/>
    <w:rsid w:val="00DE3B54"/>
    <w:rsid w:val="00DE6456"/>
    <w:rsid w:val="00E11AEA"/>
    <w:rsid w:val="00E374EC"/>
    <w:rsid w:val="00E54F38"/>
    <w:rsid w:val="00E61A13"/>
    <w:rsid w:val="00E72CEF"/>
    <w:rsid w:val="00EA5FA4"/>
    <w:rsid w:val="00EB2633"/>
    <w:rsid w:val="00EB4E75"/>
    <w:rsid w:val="00EC04E3"/>
    <w:rsid w:val="00ED3B98"/>
    <w:rsid w:val="00EF0FC7"/>
    <w:rsid w:val="00EF2831"/>
    <w:rsid w:val="00F00569"/>
    <w:rsid w:val="00F13216"/>
    <w:rsid w:val="00F2537C"/>
    <w:rsid w:val="00F3193A"/>
    <w:rsid w:val="00F3386B"/>
    <w:rsid w:val="00F43DE2"/>
    <w:rsid w:val="00F44D8F"/>
    <w:rsid w:val="00F539E5"/>
    <w:rsid w:val="00F62472"/>
    <w:rsid w:val="00F66FB8"/>
    <w:rsid w:val="00FB3B67"/>
    <w:rsid w:val="00FD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6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B55DC"/>
    <w:rPr>
      <w:sz w:val="20"/>
      <w:szCs w:val="20"/>
    </w:rPr>
  </w:style>
  <w:style w:type="character" w:styleId="EndnoteReference">
    <w:name w:val="endnote reference"/>
    <w:uiPriority w:val="99"/>
    <w:rsid w:val="009B55DC"/>
    <w:rPr>
      <w:vertAlign w:val="superscript"/>
    </w:rPr>
  </w:style>
  <w:style w:type="character" w:styleId="Hyperlink">
    <w:name w:val="Hyperlink"/>
    <w:rsid w:val="00291730"/>
    <w:rPr>
      <w:rFonts w:ascii="Arial" w:hAnsi="Arial" w:cs="Arial" w:hint="default"/>
      <w:color w:val="003366"/>
      <w:sz w:val="24"/>
      <w:szCs w:val="24"/>
      <w:u w:val="single"/>
    </w:rPr>
  </w:style>
  <w:style w:type="character" w:styleId="CommentReference">
    <w:name w:val="annotation reference"/>
    <w:rsid w:val="00366513"/>
    <w:rPr>
      <w:sz w:val="16"/>
      <w:szCs w:val="16"/>
    </w:rPr>
  </w:style>
  <w:style w:type="paragraph" w:styleId="CommentText">
    <w:name w:val="annotation text"/>
    <w:basedOn w:val="Normal"/>
    <w:link w:val="CommentTextChar"/>
    <w:rsid w:val="00366513"/>
    <w:rPr>
      <w:sz w:val="20"/>
      <w:szCs w:val="20"/>
    </w:rPr>
  </w:style>
  <w:style w:type="character" w:customStyle="1" w:styleId="CommentTextChar">
    <w:name w:val="Comment Text Char"/>
    <w:basedOn w:val="DefaultParagraphFont"/>
    <w:link w:val="CommentText"/>
    <w:rsid w:val="00366513"/>
  </w:style>
  <w:style w:type="paragraph" w:styleId="CommentSubject">
    <w:name w:val="annotation subject"/>
    <w:basedOn w:val="CommentText"/>
    <w:next w:val="CommentText"/>
    <w:link w:val="CommentSubjectChar"/>
    <w:rsid w:val="00366513"/>
    <w:rPr>
      <w:b/>
      <w:bCs/>
    </w:rPr>
  </w:style>
  <w:style w:type="character" w:customStyle="1" w:styleId="CommentSubjectChar">
    <w:name w:val="Comment Subject Char"/>
    <w:link w:val="CommentSubject"/>
    <w:rsid w:val="00366513"/>
    <w:rPr>
      <w:b/>
      <w:bCs/>
    </w:rPr>
  </w:style>
  <w:style w:type="paragraph" w:styleId="BalloonText">
    <w:name w:val="Balloon Text"/>
    <w:basedOn w:val="Normal"/>
    <w:link w:val="BalloonTextChar"/>
    <w:rsid w:val="00366513"/>
    <w:rPr>
      <w:rFonts w:ascii="Tahoma" w:hAnsi="Tahoma" w:cs="Tahoma"/>
      <w:sz w:val="16"/>
      <w:szCs w:val="16"/>
    </w:rPr>
  </w:style>
  <w:style w:type="character" w:customStyle="1" w:styleId="BalloonTextChar">
    <w:name w:val="Balloon Text Char"/>
    <w:link w:val="BalloonText"/>
    <w:rsid w:val="00366513"/>
    <w:rPr>
      <w:rFonts w:ascii="Tahoma" w:hAnsi="Tahoma" w:cs="Tahoma"/>
      <w:sz w:val="16"/>
      <w:szCs w:val="16"/>
    </w:rPr>
  </w:style>
  <w:style w:type="paragraph" w:styleId="DocumentMap">
    <w:name w:val="Document Map"/>
    <w:basedOn w:val="Normal"/>
    <w:semiHidden/>
    <w:rsid w:val="00575942"/>
    <w:pPr>
      <w:shd w:val="clear" w:color="auto" w:fill="000080"/>
    </w:pPr>
    <w:rPr>
      <w:rFonts w:ascii="Tahoma" w:hAnsi="Tahoma" w:cs="Tahoma"/>
      <w:sz w:val="20"/>
      <w:szCs w:val="20"/>
    </w:rPr>
  </w:style>
  <w:style w:type="paragraph" w:styleId="Header">
    <w:name w:val="header"/>
    <w:basedOn w:val="Normal"/>
    <w:link w:val="HeaderChar"/>
    <w:rsid w:val="009438B1"/>
    <w:pPr>
      <w:tabs>
        <w:tab w:val="center" w:pos="4680"/>
        <w:tab w:val="right" w:pos="9360"/>
      </w:tabs>
    </w:pPr>
  </w:style>
  <w:style w:type="character" w:customStyle="1" w:styleId="HeaderChar">
    <w:name w:val="Header Char"/>
    <w:link w:val="Header"/>
    <w:rsid w:val="009438B1"/>
    <w:rPr>
      <w:sz w:val="24"/>
      <w:szCs w:val="24"/>
      <w:lang w:eastAsia="en-US"/>
    </w:rPr>
  </w:style>
  <w:style w:type="paragraph" w:styleId="Footer">
    <w:name w:val="footer"/>
    <w:basedOn w:val="Normal"/>
    <w:link w:val="FooterChar"/>
    <w:rsid w:val="009438B1"/>
    <w:pPr>
      <w:tabs>
        <w:tab w:val="center" w:pos="4680"/>
        <w:tab w:val="right" w:pos="9360"/>
      </w:tabs>
    </w:pPr>
  </w:style>
  <w:style w:type="character" w:customStyle="1" w:styleId="FooterChar">
    <w:name w:val="Footer Char"/>
    <w:link w:val="Footer"/>
    <w:rsid w:val="009438B1"/>
    <w:rPr>
      <w:sz w:val="24"/>
      <w:szCs w:val="24"/>
      <w:lang w:eastAsia="en-US"/>
    </w:rPr>
  </w:style>
  <w:style w:type="paragraph" w:styleId="Title">
    <w:name w:val="Title"/>
    <w:basedOn w:val="Normal"/>
    <w:qFormat/>
    <w:rsid w:val="000269AD"/>
    <w:pPr>
      <w:jc w:val="center"/>
    </w:pPr>
    <w:rPr>
      <w:rFonts w:ascii="Arial" w:hAnsi="Arial" w:cs="Arial"/>
      <w:b/>
      <w:bCs/>
      <w:sz w:val="28"/>
    </w:rPr>
  </w:style>
  <w:style w:type="character" w:styleId="FollowedHyperlink">
    <w:name w:val="FollowedHyperlink"/>
    <w:rsid w:val="00772280"/>
    <w:rPr>
      <w:color w:val="800080"/>
      <w:u w:val="single"/>
    </w:rPr>
  </w:style>
  <w:style w:type="character" w:styleId="PageNumber">
    <w:name w:val="page number"/>
    <w:basedOn w:val="DefaultParagraphFont"/>
    <w:rsid w:val="00A32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6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apha.confex.com/apha/141am/webprogram/Paper286446.html" TargetMode="External"/><Relationship Id="rId1" Type="http://schemas.openxmlformats.org/officeDocument/2006/relationships/hyperlink" Target="http://www.ascd.org/programs/learning-and-health/wscc-mode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Problem: The Centers for Disease Control and Prevention (CDC) reports that tooth decay affects more than one fourth of U</vt:lpstr>
    </vt:vector>
  </TitlesOfParts>
  <Company>DPH</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The Centers for Disease Control and Prevention (CDC) reports that tooth decay affects more than one fourth of U</dc:title>
  <dc:creator>DPH</dc:creator>
  <cp:lastModifiedBy>Judith Feinstein</cp:lastModifiedBy>
  <cp:revision>3</cp:revision>
  <cp:lastPrinted>2010-10-23T03:21:00Z</cp:lastPrinted>
  <dcterms:created xsi:type="dcterms:W3CDTF">2016-12-15T20:09:00Z</dcterms:created>
  <dcterms:modified xsi:type="dcterms:W3CDTF">2016-12-15T20:11:00Z</dcterms:modified>
</cp:coreProperties>
</file>